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B" w:rsidRDefault="00B92467" w:rsidP="00025233">
      <w:pPr>
        <w:pStyle w:val="a0"/>
        <w:spacing w:after="0"/>
        <w:jc w:val="center"/>
        <w:rPr>
          <w:rStyle w:val="a5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525" cy="9525"/>
            <wp:effectExtent l="19050" t="0" r="9525" b="0"/>
            <wp:docPr id="1" name="Рисунок 1" descr="http://62.rospotrebnadzor.ru/image/image_gallery?uuid=1cbd4094-0407-4b86-b215-6bf2b3055780&amp;groupId=10156&amp;t=146132261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2.rospotrebnadzor.ru/image/image_gallery?uuid=1cbd4094-0407-4b86-b215-6bf2b3055780&amp;groupId=10156&amp;t=14613226149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EB" w:rsidRPr="00025233" w:rsidRDefault="00026378" w:rsidP="00025233">
      <w:pPr>
        <w:pStyle w:val="a0"/>
        <w:spacing w:after="0"/>
        <w:jc w:val="center"/>
        <w:rPr>
          <w:rStyle w:val="a5"/>
          <w:lang w:val="ru-RU"/>
        </w:rPr>
      </w:pPr>
      <w:r w:rsidRPr="00025233">
        <w:rPr>
          <w:rStyle w:val="a5"/>
          <w:lang w:val="ru-RU"/>
        </w:rPr>
        <w:t>О профилактике кори</w:t>
      </w:r>
    </w:p>
    <w:p w:rsidR="00A907EB" w:rsidRPr="00025233" w:rsidRDefault="00026378" w:rsidP="00025233">
      <w:pPr>
        <w:pStyle w:val="a0"/>
        <w:spacing w:after="0"/>
        <w:rPr>
          <w:lang w:val="ru-RU"/>
        </w:rPr>
      </w:pPr>
      <w:r>
        <w:t> 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В 2014-201</w:t>
      </w:r>
      <w:r w:rsidR="00025233">
        <w:rPr>
          <w:lang w:val="ru-RU"/>
        </w:rPr>
        <w:t>6</w:t>
      </w:r>
      <w:r w:rsidRPr="00025233">
        <w:rPr>
          <w:lang w:val="ru-RU"/>
        </w:rPr>
        <w:t xml:space="preserve"> годах случаи заболевания корью в Рязанской области не регистрировалась и это благодаря высокому охвату профилактическими прививками детей, взрослого населения до 35 лет, медицинских работников лечебно-профилактических организаций. Подъем заболеваемости 2013-2014гг., когда болели корью не привитые взрослые и дети, еще раз доказал, что отказ от вакцинации и снижение коллективной иммунной прослойки ведет к развитию эпидемического процесса.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 xml:space="preserve">Корь представляет собой острое инфекционное заболевание, характеризующееся в типичной форме следующими проявлениями: повышением температуры тела до 38-40 град., насморком, конъюнктивитом, кашлем, общей интоксикацией, светобоязнью. Характерен внешний вид больного - одутловатое лицо, припухшие глаза, нос и губы. С 4-5 дня начинается период поэтапного появления пятнисто-папулезной сыпи: начинается на лице, шее, верхней части груди. На следующий день сыпь возникает на туловище, бедрах, руках. В течение 3-го дня сыпь поражает ноги и нижнюю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рук</w:t>
      </w:r>
      <w:proofErr w:type="spellEnd"/>
      <w:r>
        <w:t xml:space="preserve">. </w:t>
      </w:r>
      <w:r w:rsidRPr="00025233">
        <w:rPr>
          <w:lang w:val="ru-RU"/>
        </w:rPr>
        <w:t>Сыпь у больных корью детей сохраняется около 7-10 дней (у взрослых дольше), при этом вызывая сильный зуд. На последнем этапе болезни она пропадает, оставляя после себя пигментацию.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 xml:space="preserve">Корь опасна своими осложнениями: чаще это пневмония, </w:t>
      </w:r>
      <w:proofErr w:type="spellStart"/>
      <w:r w:rsidRPr="00025233">
        <w:rPr>
          <w:lang w:val="ru-RU"/>
        </w:rPr>
        <w:t>менингоэнцефалит</w:t>
      </w:r>
      <w:proofErr w:type="spellEnd"/>
      <w:r w:rsidRPr="00025233">
        <w:rPr>
          <w:lang w:val="ru-RU"/>
        </w:rPr>
        <w:t xml:space="preserve">. Реже в качестве осложнений встречаются отиты, стоматиты, колиты, </w:t>
      </w:r>
      <w:proofErr w:type="spellStart"/>
      <w:r w:rsidRPr="00025233">
        <w:rPr>
          <w:lang w:val="ru-RU"/>
        </w:rPr>
        <w:t>энцефаломиелиты</w:t>
      </w:r>
      <w:proofErr w:type="spellEnd"/>
      <w:r w:rsidRPr="00025233">
        <w:rPr>
          <w:lang w:val="ru-RU"/>
        </w:rPr>
        <w:t>, фурункулезы, поражения глаз. У взрослых заболевание протекает, как правило, тяжелее.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Путь передачи при кори - воздушно-капельный. Источником инфекции является больной человек, который заразен за 3-4 дня до появления сыпи и первые 4 дня после высыпания. Восприимчивость людей чрезвычайно высокая: обычно заболевают все не привитые и не болевшие лица, общавшиеся с больным. Материнский иммунитет защищает ребенка до 6 месяцев.</w:t>
      </w:r>
    </w:p>
    <w:p w:rsidR="00A907EB" w:rsidRPr="00025233" w:rsidRDefault="00026378" w:rsidP="00025233">
      <w:pPr>
        <w:pStyle w:val="a0"/>
        <w:spacing w:after="0"/>
        <w:jc w:val="both"/>
        <w:rPr>
          <w:lang w:val="ru-RU"/>
        </w:rPr>
      </w:pPr>
      <w:r w:rsidRPr="00025233">
        <w:rPr>
          <w:lang w:val="ru-RU"/>
        </w:rPr>
        <w:t xml:space="preserve">Основным методом защиты населения от кори является </w:t>
      </w:r>
      <w:proofErr w:type="spellStart"/>
      <w:r w:rsidRPr="00025233">
        <w:rPr>
          <w:lang w:val="ru-RU"/>
        </w:rPr>
        <w:t>вакцинопрофилактика</w:t>
      </w:r>
      <w:proofErr w:type="spellEnd"/>
      <w:r w:rsidRPr="00025233">
        <w:rPr>
          <w:lang w:val="ru-RU"/>
        </w:rPr>
        <w:t>. У лиц, получивших прививку, вырабатывается противовирусный иммунитет, который защищает от заболевания корью, предотвращает развитие тяжелых форм заболевания и осложнений. Так же наличие профилактических прививок обеспечит Вам беспрепятственный въе</w:t>
      </w:r>
      <w:proofErr w:type="gramStart"/>
      <w:r w:rsidRPr="00025233">
        <w:rPr>
          <w:lang w:val="ru-RU"/>
        </w:rPr>
        <w:t>зд в стр</w:t>
      </w:r>
      <w:proofErr w:type="gramEnd"/>
      <w:r w:rsidRPr="00025233">
        <w:rPr>
          <w:lang w:val="ru-RU"/>
        </w:rPr>
        <w:t xml:space="preserve">аны </w:t>
      </w:r>
      <w:proofErr w:type="gramStart"/>
      <w:r w:rsidRPr="00025233">
        <w:rPr>
          <w:lang w:val="ru-RU"/>
        </w:rPr>
        <w:t>неблагополучные по заболеваемости корью.</w:t>
      </w:r>
      <w:proofErr w:type="gramEnd"/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 xml:space="preserve">В соответствии с Национальным календарем профилактических прививок Российской Федерации, прививки против кори проводятся детям в возрасте 12 месяцев (вакцинация) и 6-и лет (ревакцинация). Подростки 15-17 лет и взрослые в возрасте до </w:t>
      </w:r>
      <w:r w:rsidR="00025233">
        <w:rPr>
          <w:lang w:val="ru-RU"/>
        </w:rPr>
        <w:t>5</w:t>
      </w:r>
      <w:r w:rsidRPr="00025233">
        <w:rPr>
          <w:lang w:val="ru-RU"/>
        </w:rPr>
        <w:t>5 лет так же должны быть двукратно привиты против кори.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proofErr w:type="gramStart"/>
      <w:r w:rsidRPr="00025233">
        <w:rPr>
          <w:lang w:val="ru-RU"/>
        </w:rPr>
        <w:t>Двукратной иммунизации подлежат: не болевшие корью и не привитые против кори ранее, а так же не имеющие сведений о прививках против кори.</w:t>
      </w:r>
      <w:proofErr w:type="gramEnd"/>
      <w:r w:rsidRPr="00025233">
        <w:rPr>
          <w:lang w:val="ru-RU"/>
        </w:rPr>
        <w:t xml:space="preserve"> Интервал между вакцинацией и ревакцинацией составляет не менее 3-х месяцев.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В очагах коревой инфекции все контактные лица вне зависимости от возраста подлежат вакцинации, если они не болели корью, не имеют сведений о наличии прививок против кори или имеют однократную вакцинацию.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Управление Роспотребнадзора по Рязанской области напоминает: сведения о наличии профилактических прививок заносятся в индивидуальный прививочный сертификат и этот документ необходим каждому человеку. Отправляясь в путешествие, возьмите его с собой.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proofErr w:type="gramStart"/>
      <w:r w:rsidRPr="00025233">
        <w:rPr>
          <w:lang w:val="ru-RU"/>
        </w:rPr>
        <w:t>Для удобства населения в период проведения Европейской недели иммунизации с 24 по 30 апреля 201</w:t>
      </w:r>
      <w:r w:rsidR="00025233">
        <w:rPr>
          <w:lang w:val="ru-RU"/>
        </w:rPr>
        <w:t>7</w:t>
      </w:r>
      <w:r w:rsidRPr="00025233">
        <w:rPr>
          <w:lang w:val="ru-RU"/>
        </w:rPr>
        <w:t xml:space="preserve"> года в лечебно-профилактических организациях области будут увеличены часы работы прививочных кабинетов, будут работать «горячие» телефонные линии, опытные специалисты ответят на интересующие вас вопросы по </w:t>
      </w:r>
      <w:proofErr w:type="spellStart"/>
      <w:r w:rsidRPr="00025233">
        <w:rPr>
          <w:lang w:val="ru-RU"/>
        </w:rPr>
        <w:t>вакцинопрофилактике</w:t>
      </w:r>
      <w:proofErr w:type="spellEnd"/>
      <w:r w:rsidRPr="00025233">
        <w:rPr>
          <w:lang w:val="ru-RU"/>
        </w:rPr>
        <w:t>.</w:t>
      </w:r>
      <w:proofErr w:type="gramEnd"/>
      <w:r w:rsidRPr="00025233">
        <w:rPr>
          <w:lang w:val="ru-RU"/>
        </w:rPr>
        <w:t xml:space="preserve"> Воспользуйтесь такой возможностью, чтобы быть спокойным за свое здоровье.</w:t>
      </w:r>
    </w:p>
    <w:p w:rsidR="00026378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Родители, помните: прививая ребенка и себя, вы защищаетесь от инфекционных заболеваний! Отказываясь от прививок - рискуете здоровьем и жизнью!</w:t>
      </w:r>
    </w:p>
    <w:sectPr w:rsidR="00026378" w:rsidRPr="00025233" w:rsidSect="00A907E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2467"/>
    <w:rsid w:val="00025233"/>
    <w:rsid w:val="00026378"/>
    <w:rsid w:val="00490E38"/>
    <w:rsid w:val="00A907EB"/>
    <w:rsid w:val="00B92467"/>
    <w:rsid w:val="00E0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B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A907EB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A907EB"/>
  </w:style>
  <w:style w:type="character" w:customStyle="1" w:styleId="FootnoteCharacters">
    <w:name w:val="Footnote Characters"/>
    <w:rsid w:val="00A907EB"/>
  </w:style>
  <w:style w:type="character" w:styleId="a4">
    <w:name w:val="Hyperlink"/>
    <w:rsid w:val="00A907EB"/>
    <w:rPr>
      <w:color w:val="000080"/>
      <w:u w:val="single"/>
    </w:rPr>
  </w:style>
  <w:style w:type="character" w:styleId="a5">
    <w:name w:val="Strong"/>
    <w:qFormat/>
    <w:rsid w:val="00A907EB"/>
    <w:rPr>
      <w:b/>
      <w:bCs/>
    </w:rPr>
  </w:style>
  <w:style w:type="paragraph" w:customStyle="1" w:styleId="HorizontalLine">
    <w:name w:val="Horizontal Line"/>
    <w:basedOn w:val="a"/>
    <w:next w:val="a0"/>
    <w:rsid w:val="00A907EB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A907EB"/>
    <w:rPr>
      <w:i/>
    </w:rPr>
  </w:style>
  <w:style w:type="paragraph" w:customStyle="1" w:styleId="TableContents">
    <w:name w:val="Table Contents"/>
    <w:basedOn w:val="a0"/>
    <w:rsid w:val="00A907EB"/>
  </w:style>
  <w:style w:type="paragraph" w:styleId="a6">
    <w:name w:val="footer"/>
    <w:basedOn w:val="a"/>
    <w:rsid w:val="00A907EB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A907EB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A907EB"/>
    <w:pPr>
      <w:suppressLineNumbers/>
    </w:pPr>
  </w:style>
  <w:style w:type="paragraph" w:customStyle="1" w:styleId="Caption">
    <w:name w:val="Caption"/>
    <w:basedOn w:val="a"/>
    <w:rsid w:val="00A907EB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A907EB"/>
  </w:style>
  <w:style w:type="paragraph" w:styleId="a0">
    <w:name w:val="Body Text"/>
    <w:basedOn w:val="a"/>
    <w:rsid w:val="00A907EB"/>
    <w:pPr>
      <w:spacing w:after="283"/>
    </w:pPr>
  </w:style>
  <w:style w:type="paragraph" w:customStyle="1" w:styleId="Heading">
    <w:name w:val="Heading"/>
    <w:basedOn w:val="a"/>
    <w:next w:val="a0"/>
    <w:rsid w:val="00A907EB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2523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025233"/>
    <w:rPr>
      <w:rFonts w:ascii="Tahoma" w:eastAsia="DejaVu Sans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Company>Krokoz™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2017-04-11T07:06:00Z</dcterms:created>
  <dcterms:modified xsi:type="dcterms:W3CDTF">2017-04-11T07:06:00Z</dcterms:modified>
</cp:coreProperties>
</file>