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ДЕСЯТЬ ВЕЩЕЙ, КОТОРЫЕ НЕЛЬЗЯ ДЕЛАТЬ ЗА ДЕТЕЙ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1. Говорить вместо детей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Все начинается с тех радостных моментов, когда на вопрос в адрес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карапуза: «Ой, а как же нас зовут?» мы спешим ответить: «Сашенька».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Хорошо, если бы эта привычка кончалась вместе с освоением ребенком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техники речи. Так нет же, мы умудряемся отвечать и за детей-подростков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— в гостях, в магазине, даже дома.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И что имеем в итоге? Своими же руками забираем у сына или дочери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шанс научиться отвечать за себя. Можно подсказать, что нужно говорить,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если ребенок просит. Но брать инициативу в свои руки точно не нужно.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В следующий раз, когда возникает соблазн сказать за ребенка,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попробовать сдержаться и дать слово ему самому.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2880360" cy="35687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9872510657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35693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2. Стараться стать другом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Многие из нас стремятся стать друзьями своим детям, да такими, от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которых нет секретов. Такое желание мамы или папы вполне можно понять.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Но давайте копнем глубже. Кто такой друг? Это человек, который с нами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на равных, на одном уровне. Да, ему можно все рассказать, но глупо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рассчитывать, что он прикроет тебе спину.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У родителей другая роль — заботливых и любящих старших. Попытки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слишком близко дружить не нужны, пусть дети ищут товарищей среди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ровесников. А к маме и папе придут за безусловной любовью 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поддержкой, когда это нужно.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Отказаться от панибратства в отношениях, воспитывать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взаимное уважение и поддержку.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  <w:r>
        <w:rPr>
          <w:sz w:val="20"/>
        </w:rPr>
        <w:drawing>
          <wp:inline distT="0" distB="0" distL="0" distR="0">
            <wp:extent cx="3122930" cy="3863975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886632240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38646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3. Хотеть.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Мы-то хорошо знаем, что брокколи полезнее конфет, а новые кроссовки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нужнее куклы. Вот и диктуем детям, явно или скрыто, что и как они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должны хотеть. А там, как в анекдоте: «Мама, я хочу кушать?» «Нет,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сынок, ты замерз и хочешь погреться».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 чему приводят такие попытки? К подавлению собственного «я», своих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желаний и целей. А также к привычке чувствовать себя безвольной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жертвой, а если ребенок «с характером» — то к закономерному бунту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против вас и всего мира.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Искать потребности и желания ребенка. А если нужно научить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полезным привычкам, делать это без насилия, не через «надо», а через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«хорошо».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3455670" cy="4289425"/>
            <wp:effectExtent l="0" t="0" r="0" b="0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fImage94826346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42900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4. Обслуживать себя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Уже 2—3-летний ребенок может сам снимать с себя и надевать многие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предметы одежды, споласкивать за собой чашку и закидывать грязные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штанишки в стиральную машинку. Мало того, в этом возрасте у детей есть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огромное желание все делать самому.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И что же делаем мы? Одеваем чуть ли не до свадьбы, аргументируя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спешкой и тем, что «сам он не умеет». Кормим с ложечки, запрещая есть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самому и познавать разные вкусы. Запрещаем самодеятельность. А потом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удивляемся, что подросток не хочет помогать матери и ведет себя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неаккуратно.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По мере возможности позволять ребенку обслуживать себя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самому.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4542155" cy="4867910"/>
            <wp:effectExtent l="0" t="0" r="0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fImage8203439180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48685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5. Выбирать вкусы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Мы часто неосознанно пытаемся навязать детям свои музыкальные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пристрастия, книжные предпочтения, стиль в одежде. И вроде бы хорошее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намерение, но в итоге оно стирает индивидуальность ребенка. А во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многих случаях вызывает справедливый протест с желанием делать все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наоборот.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Самим слушать свою музыку и смотреть любимые фильмы, а с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детьми говорить об их кумирах.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4030980" cy="4991100"/>
            <wp:effectExtent l="0" t="0" r="0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fImage8818642319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49917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6. Считать деньги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В жизни каждого ребенка рано или поздно наступает момент, когда у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него появляются карманные деньги. Вот только не нужно проверять 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устраивать допрос, сколько осталось, и уж тем более лазить по карманам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и сумкам. Доверие так убивается вмиг.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По большому счету, что нам с того, сколько денег осталось у сына или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дочери? Пусть себе копит на что-то интересное или покупает приятные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мелочи.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Учить ребенка основам финансовой грамотности и доверять ему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самостоятельно распоряжаться своими деньгами.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3710940" cy="4589780"/>
            <wp:effectExtent l="0" t="0" r="0" b="0"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fImage856624346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45904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7. Выбирать увлечения и интересы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Матери так хочется, чтобы дочь играла на скрипке, и она готова возить ее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через весь город в музыкальную школу трижды в неделю. А отец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настаивает, чтобы сын каждый вечер бегал на тренировки по футболу. 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чаще всего родители подсознательно пытаются навязать детям или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модное хобби, или собственные нереализованные амбиции.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Набраться терпения и наблюдать за ребенком, отмечая его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собственные интересы и склонности. Спрашивать, что ему нравится, что он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любит. А затем помочь развиваться в сфере его интересов.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4250690" cy="5260340"/>
            <wp:effectExtent l="0" t="0" r="0" b="0"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storage/emulated/0/.polaris_temp/fImage8080745947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52609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8. Присваивать себе успехи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Заботливые инста-матери забивают ленты сотнями фото с подписями «Мы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покушали», «Мы поползли», «Мы сели на горшок». Конечно, во многом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это поддержка родителей, но все же это не их успехи, а ребенка! Какое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такое «мы»?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 ростом ребенка ситуация становится еще серьезнее. И вот родители уже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могут хвастаться, что «мы» закончили институт, устроились на работу.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Несложно догадаться, как все это неприятно детям.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Радоваться успехам детей, поддерживать их, но не путать с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собственными достижениями.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4371340" cy="5412105"/>
            <wp:effectExtent l="0" t="0" r="0" b="0"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_temp/fImage8774447921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4127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9. Выбирать подарки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Когда ребенок уже может говорить, он имеет право выбирать, что ему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хочется получить в подарок.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Да, конечно, такой подход не всегда удобен. Но он даст нашим детям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главное — умение выбирать, принимать решения и отвечать за их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последствия. Во взрослой жизни эти умения лишними точно не станут.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Позволить ребенку в пределах возможного выбирать подарки 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покупки себе.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4428490" cy="5478780"/>
            <wp:effectExtent l="0" t="0" r="0" b="0"/>
            <wp:docPr id="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storage/emulated/0/.polaris_temp/fImage10144049844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4794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10. Влезать в личную жизнь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Особенно это касается родителей подростков. У детей свои друзья,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компании, первая любовь. Все это нормально и естественно. Допросы в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ключе «Кто этот мальчик?» вызовут только раздражение и отдаление.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При этом многие ребята сами поделятся с родителями сокровенным, если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будут чувствовать себя в безопасности.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 быть? Вместо допросов позволить ребенку иметь личное пространство.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Не расспрашивать, если он не настроен на детали. И, конечно, ни под </w:t>
      </w:r>
      <w:r>
        <w:rPr>
          <w:color w:val="auto"/>
          <w:sz w:val="22"/>
          <w:szCs w:val="22"/>
          <w:rFonts w:ascii="NanumGothic" w:eastAsia="NanumGothic" w:hAnsi="NanumGothic" w:hint="default"/>
        </w:rPr>
        <w:t xml:space="preserve">каким соусом не влезать в переписку детей.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3199765" cy="3970020"/>
            <wp:effectExtent l="0" t="0" r="0" b="0"/>
            <wp:docPr id="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storage/emulated/0/.polaris_temp/fImage8908851368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7065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r:id="rId15"/>
      <w:footerReference w:type="default" r:id="rId16"/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ft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2"/>
        <w:szCs w:val="22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2"/>
      <w:szCs w:val="22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2"/>
      <w:szCs w:val="22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98725106570.jpeg"></Relationship><Relationship Id="rId6" Type="http://schemas.openxmlformats.org/officeDocument/2006/relationships/image" Target="media/fImage88663224090.jpeg"></Relationship><Relationship Id="rId7" Type="http://schemas.openxmlformats.org/officeDocument/2006/relationships/image" Target="media/fImage9482634640.jpeg"></Relationship><Relationship Id="rId8" Type="http://schemas.openxmlformats.org/officeDocument/2006/relationships/image" Target="media/fImage82034391807.jpeg"></Relationship><Relationship Id="rId9" Type="http://schemas.openxmlformats.org/officeDocument/2006/relationships/image" Target="media/fImage88186423199.jpeg"></Relationship><Relationship Id="rId10" Type="http://schemas.openxmlformats.org/officeDocument/2006/relationships/image" Target="media/fImage85662434642.jpeg"></Relationship><Relationship Id="rId11" Type="http://schemas.openxmlformats.org/officeDocument/2006/relationships/image" Target="media/fImage80807459471.jpeg"></Relationship><Relationship Id="rId12" Type="http://schemas.openxmlformats.org/officeDocument/2006/relationships/image" Target="media/fImage87744479217.jpeg"></Relationship><Relationship Id="rId13" Type="http://schemas.openxmlformats.org/officeDocument/2006/relationships/image" Target="media/fImage101440498448.jpeg"></Relationship><Relationship Id="rId14" Type="http://schemas.openxmlformats.org/officeDocument/2006/relationships/image" Target="media/fImage89088513685.jpeg"></Relationship><Relationship Id="rId15" Type="http://schemas.openxmlformats.org/officeDocument/2006/relationships/header" Target="header6.xml"></Relationship><Relationship Id="rId16" Type="http://schemas.openxmlformats.org/officeDocument/2006/relationships/footer" Target="footer7.xml"></Relationship><Relationship Id="rId1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10</Pages>
  <Paragraphs>0</Paragraphs>
  <Words>850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Исаева Дарья</dc:creator>
  <cp:lastModifiedBy/>
</cp:coreProperties>
</file>